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4F2C" w:rsidRPr="00D01129" w:rsidRDefault="00700F00" w:rsidP="00D01129">
      <w:pPr>
        <w:jc w:val="center"/>
        <w:rPr>
          <w:rFonts w:asciiTheme="majorEastAsia" w:eastAsiaTheme="majorEastAsia" w:hAnsiTheme="majorEastAsia"/>
          <w:sz w:val="24"/>
          <w:szCs w:val="24"/>
        </w:rPr>
      </w:pPr>
      <w:r>
        <w:rPr>
          <w:rFonts w:asciiTheme="majorEastAsia" w:eastAsiaTheme="majorEastAsia" w:hAnsiTheme="majorEastAsia" w:hint="eastAsia"/>
          <w:noProof/>
          <w:sz w:val="24"/>
          <w:szCs w:val="24"/>
          <w:u w:val="single"/>
        </w:rPr>
        <mc:AlternateContent>
          <mc:Choice Requires="wps">
            <w:drawing>
              <wp:anchor distT="0" distB="0" distL="114300" distR="114300" simplePos="0" relativeHeight="251660288" behindDoc="0" locked="0" layoutInCell="1" allowOverlap="1">
                <wp:simplePos x="0" y="0"/>
                <wp:positionH relativeFrom="column">
                  <wp:posOffset>5473065</wp:posOffset>
                </wp:positionH>
                <wp:positionV relativeFrom="paragraph">
                  <wp:posOffset>-114300</wp:posOffset>
                </wp:positionV>
                <wp:extent cx="838200" cy="485775"/>
                <wp:effectExtent l="0" t="0" r="19050" b="28575"/>
                <wp:wrapNone/>
                <wp:docPr id="2" name="円/楕円 2"/>
                <wp:cNvGraphicFramePr/>
                <a:graphic xmlns:a="http://schemas.openxmlformats.org/drawingml/2006/main">
                  <a:graphicData uri="http://schemas.microsoft.com/office/word/2010/wordprocessingShape">
                    <wps:wsp>
                      <wps:cNvSpPr/>
                      <wps:spPr>
                        <a:xfrm>
                          <a:off x="0" y="0"/>
                          <a:ext cx="838200" cy="485775"/>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700F00" w:rsidRPr="00700F00" w:rsidRDefault="00700F00" w:rsidP="00700F00">
                            <w:pPr>
                              <w:jc w:val="center"/>
                              <w:rPr>
                                <w:sz w:val="24"/>
                                <w:szCs w:val="24"/>
                              </w:rPr>
                            </w:pPr>
                            <w:r w:rsidRPr="00700F00">
                              <w:rPr>
                                <w:rFonts w:hint="eastAsia"/>
                                <w:sz w:val="24"/>
                                <w:szCs w:val="24"/>
                              </w:rPr>
                              <w:t>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id="円/楕円 2" o:spid="_x0000_s1026" style="position:absolute;left:0;text-align:left;margin-left:430.95pt;margin-top:-9pt;width:66pt;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" fillcolor="#4f81bd [3204]" strokecolor="#243f60 [1604]" strokeweight="2pt">
                <v:textbox>
                  <w:txbxContent>
                    <w:p w:rsidR="00700F00" w:rsidRPr="00700F00" w:rsidRDefault="00700F00" w:rsidP="00700F00">
                      <w:pPr>
                        <w:jc w:val="center"/>
                        <w:rPr>
                          <w:sz w:val="24"/>
                          <w:szCs w:val="24"/>
                        </w:rPr>
                      </w:pPr>
                      <w:r w:rsidRPr="00700F00">
                        <w:rPr>
                          <w:rFonts w:hint="eastAsia"/>
                          <w:sz w:val="24"/>
                          <w:szCs w:val="24"/>
                        </w:rPr>
                        <w:t>案</w:t>
                      </w:r>
                    </w:p>
                  </w:txbxContent>
                </v:textbox>
              </v:oval>
            </w:pict>
          </mc:Fallback>
        </mc:AlternateContent>
      </w:r>
      <w:r w:rsidR="00FF1673">
        <w:rPr>
          <w:rFonts w:asciiTheme="majorEastAsia" w:eastAsiaTheme="majorEastAsia" w:hAnsiTheme="majorEastAsia" w:hint="eastAsia"/>
          <w:sz w:val="24"/>
          <w:szCs w:val="24"/>
          <w:u w:val="single"/>
        </w:rPr>
        <w:t>感染性胃腸炎が疑われる集団発生の場合</w:t>
      </w:r>
      <w:bookmarkStart w:id="0" w:name="_GoBack"/>
      <w:bookmarkEnd w:id="0"/>
    </w:p>
    <w:p w:rsidR="00D01129" w:rsidRDefault="00D0112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81915</wp:posOffset>
                </wp:positionH>
                <wp:positionV relativeFrom="paragraph">
                  <wp:posOffset>190500</wp:posOffset>
                </wp:positionV>
                <wp:extent cx="6943725" cy="1457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943725" cy="1457325"/>
                        </a:xfrm>
                        <a:prstGeom prst="rect">
                          <a:avLst/>
                        </a:prstGeom>
                        <a:noFill/>
                        <a:ln>
                          <a:prstDash val="sysDash"/>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6.45pt;margin-top:15pt;width:546.75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" filled="f" strokecolor="#f79646 [3209]" strokeweight="2pt">
                <v:stroke dashstyle="3 1"/>
              </v:rect>
            </w:pict>
          </mc:Fallback>
        </mc:AlternateContent>
      </w:r>
    </w:p>
    <w:p w:rsidR="00D01129" w:rsidRPr="00BE6234" w:rsidRDefault="00D01129" w:rsidP="002E2695">
      <w:pPr>
        <w:ind w:firstLineChars="100" w:firstLine="180"/>
        <w:rPr>
          <w:rFonts w:asciiTheme="majorEastAsia" w:eastAsiaTheme="majorEastAsia" w:hAnsiTheme="majorEastAsia"/>
          <w:sz w:val="18"/>
          <w:szCs w:val="18"/>
        </w:rPr>
      </w:pPr>
      <w:r w:rsidRPr="00BE6234">
        <w:rPr>
          <w:rFonts w:asciiTheme="majorEastAsia" w:eastAsiaTheme="majorEastAsia" w:hAnsiTheme="majorEastAsia" w:hint="eastAsia"/>
          <w:sz w:val="18"/>
          <w:szCs w:val="18"/>
        </w:rPr>
        <w:t>【報告が必要な場合】</w:t>
      </w:r>
    </w:p>
    <w:p w:rsidR="00D01129" w:rsidRPr="00BE6234" w:rsidRDefault="00D01129" w:rsidP="002E2695">
      <w:pPr>
        <w:ind w:leftChars="100" w:left="210"/>
        <w:rPr>
          <w:rFonts w:asciiTheme="minorEastAsia" w:hAnsiTheme="minorEastAsia"/>
          <w:sz w:val="18"/>
          <w:szCs w:val="18"/>
        </w:rPr>
      </w:pPr>
      <w:r w:rsidRPr="00BE6234">
        <w:rPr>
          <w:rFonts w:asciiTheme="minorEastAsia" w:hAnsiTheme="minorEastAsia" w:hint="eastAsia"/>
          <w:sz w:val="18"/>
          <w:szCs w:val="18"/>
        </w:rPr>
        <w:t>・同一の感染症や食中毒による，またはそれらが疑われる死亡者・重篤患者が一週間以内に２名以上発生した場合</w:t>
      </w:r>
    </w:p>
    <w:p w:rsidR="00D01129" w:rsidRPr="00BE6234" w:rsidRDefault="00D01129" w:rsidP="002E2695">
      <w:pPr>
        <w:ind w:left="2" w:firstLineChars="100" w:firstLine="180"/>
        <w:rPr>
          <w:rFonts w:asciiTheme="minorEastAsia" w:hAnsiTheme="minorEastAsia"/>
          <w:sz w:val="18"/>
          <w:szCs w:val="18"/>
        </w:rPr>
      </w:pPr>
      <w:r w:rsidRPr="00BE6234">
        <w:rPr>
          <w:rFonts w:asciiTheme="minorEastAsia" w:hAnsiTheme="minorEastAsia" w:hint="eastAsia"/>
          <w:sz w:val="18"/>
          <w:szCs w:val="18"/>
        </w:rPr>
        <w:t>・同一の感染症や食中毒の場合、またはそれらが疑われる者が一週間以内に概ね１０名以上または全利用者の半数以上発生した場合</w:t>
      </w:r>
    </w:p>
    <w:p w:rsidR="00D01129" w:rsidRPr="00BE6234" w:rsidRDefault="00D01129" w:rsidP="002E2695">
      <w:pPr>
        <w:ind w:leftChars="100" w:left="210"/>
        <w:rPr>
          <w:rFonts w:asciiTheme="minorEastAsia" w:hAnsiTheme="minorEastAsia"/>
          <w:sz w:val="18"/>
          <w:szCs w:val="18"/>
        </w:rPr>
      </w:pPr>
      <w:r w:rsidRPr="00BE6234">
        <w:rPr>
          <w:rFonts w:asciiTheme="minorEastAsia" w:hAnsiTheme="minorEastAsia" w:hint="eastAsia"/>
          <w:sz w:val="18"/>
          <w:szCs w:val="18"/>
        </w:rPr>
        <w:t>・通常の発生動向を上回る感染症等の発生が疑われ，特に施設長が報告を必要と認められた場合</w:t>
      </w:r>
    </w:p>
    <w:p w:rsidR="00452579" w:rsidRDefault="00D01129" w:rsidP="002E2695">
      <w:pPr>
        <w:ind w:leftChars="67" w:left="141" w:firstLineChars="100" w:firstLine="180"/>
        <w:jc w:val="left"/>
        <w:rPr>
          <w:rFonts w:asciiTheme="minorEastAsia" w:hAnsiTheme="minorEastAsia"/>
          <w:sz w:val="18"/>
          <w:szCs w:val="18"/>
        </w:rPr>
      </w:pPr>
      <w:r w:rsidRPr="00BE6234">
        <w:rPr>
          <w:rFonts w:asciiTheme="minorEastAsia" w:hAnsiTheme="minorEastAsia" w:hint="eastAsia"/>
          <w:sz w:val="18"/>
          <w:szCs w:val="18"/>
        </w:rPr>
        <w:t>＊同一の感染症などによる患者等が，</w:t>
      </w:r>
      <w:r w:rsidRPr="00C7056F">
        <w:rPr>
          <w:rFonts w:asciiTheme="minorEastAsia" w:hAnsiTheme="minorEastAsia" w:hint="eastAsia"/>
          <w:sz w:val="18"/>
          <w:szCs w:val="18"/>
          <w:u w:val="wave"/>
        </w:rPr>
        <w:t>ある時点において一週間以内に概ね１０名以上</w:t>
      </w:r>
      <w:r w:rsidRPr="00BE6234">
        <w:rPr>
          <w:rFonts w:asciiTheme="minorEastAsia" w:hAnsiTheme="minorEastAsia" w:hint="eastAsia"/>
          <w:sz w:val="18"/>
          <w:szCs w:val="18"/>
        </w:rPr>
        <w:t>または全利用者の半数以上が発生した場合</w:t>
      </w:r>
      <w:r w:rsidR="00CD2974">
        <w:rPr>
          <w:rFonts w:asciiTheme="minorEastAsia" w:hAnsiTheme="minorEastAsia" w:hint="eastAsia"/>
          <w:sz w:val="18"/>
          <w:szCs w:val="18"/>
        </w:rPr>
        <w:t>で</w:t>
      </w:r>
    </w:p>
    <w:p w:rsidR="00D01129" w:rsidRPr="00BE6234" w:rsidRDefault="00D01129" w:rsidP="002E2695">
      <w:pPr>
        <w:ind w:leftChars="67" w:left="141" w:firstLineChars="200" w:firstLine="360"/>
        <w:jc w:val="left"/>
        <w:rPr>
          <w:rFonts w:asciiTheme="minorEastAsia" w:hAnsiTheme="minorEastAsia"/>
          <w:sz w:val="18"/>
          <w:szCs w:val="18"/>
        </w:rPr>
      </w:pPr>
      <w:r w:rsidRPr="00BE6234">
        <w:rPr>
          <w:rFonts w:asciiTheme="minorEastAsia" w:hAnsiTheme="minorEastAsia" w:hint="eastAsia"/>
          <w:sz w:val="18"/>
          <w:szCs w:val="18"/>
        </w:rPr>
        <w:t>あって，最初の患者等が発生してからの累積の人数ではないことに留意する。</w:t>
      </w:r>
    </w:p>
    <w:p w:rsidR="00D01129" w:rsidRDefault="00D01129" w:rsidP="00BE6234">
      <w:pPr>
        <w:ind w:leftChars="-135" w:left="210" w:hangingChars="235" w:hanging="493"/>
        <w:jc w:val="left"/>
        <w:rPr>
          <w:rFonts w:asciiTheme="majorEastAsia" w:eastAsiaTheme="majorEastAsia" w:hAnsiTheme="majorEastAsia"/>
        </w:rPr>
      </w:pPr>
    </w:p>
    <w:p w:rsidR="00BB3307" w:rsidRDefault="00BB3307" w:rsidP="00BB3307">
      <w:pPr>
        <w:ind w:left="210" w:hangingChars="100" w:hanging="210"/>
        <w:jc w:val="center"/>
        <w:rPr>
          <w:rFonts w:asciiTheme="majorEastAsia" w:eastAsiaTheme="majorEastAsia" w:hAnsiTheme="majorEastAsia"/>
          <w:bdr w:val="single" w:sz="4" w:space="0" w:color="auto"/>
        </w:rPr>
      </w:pPr>
      <w:r w:rsidRPr="00BB3307">
        <w:rPr>
          <w:rFonts w:asciiTheme="majorEastAsia" w:eastAsiaTheme="majorEastAsia" w:hAnsiTheme="majorEastAsia" w:hint="eastAsia"/>
          <w:bdr w:val="single" w:sz="4" w:space="0" w:color="auto"/>
        </w:rPr>
        <w:t>保健所への報告のタイミング</w:t>
      </w:r>
      <w:r w:rsidR="00E62FE6">
        <w:rPr>
          <w:rFonts w:asciiTheme="majorEastAsia" w:eastAsiaTheme="majorEastAsia" w:hAnsiTheme="majorEastAsia" w:hint="eastAsia"/>
          <w:bdr w:val="single" w:sz="4" w:space="0" w:color="auto"/>
        </w:rPr>
        <w:t>（例）</w:t>
      </w:r>
    </w:p>
    <w:p w:rsidR="006134D4" w:rsidRPr="00E62FE6" w:rsidRDefault="006134D4" w:rsidP="00BB3307">
      <w:pPr>
        <w:ind w:left="210" w:hangingChars="100" w:hanging="210"/>
        <w:jc w:val="center"/>
        <w:rPr>
          <w:rFonts w:asciiTheme="majorEastAsia" w:eastAsiaTheme="majorEastAsia" w:hAnsiTheme="majorEastAsia"/>
          <w:bdr w:val="single" w:sz="4" w:space="0" w:color="auto"/>
        </w:rPr>
      </w:pPr>
    </w:p>
    <w:bookmarkStart w:id="1" w:name="_MON_1543654350"/>
    <w:bookmarkEnd w:id="1"/>
    <w:p w:rsidR="00BE6234" w:rsidRDefault="00746D99" w:rsidP="00755ED2">
      <w:pPr>
        <w:ind w:firstLineChars="135" w:firstLine="283"/>
        <w:jc w:val="left"/>
        <w:rPr>
          <w:rFonts w:asciiTheme="majorEastAsia" w:eastAsiaTheme="majorEastAsia" w:hAnsiTheme="majorEastAsia"/>
        </w:rPr>
      </w:pPr>
      <w:r>
        <w:rPr>
          <w:rFonts w:asciiTheme="majorEastAsia" w:eastAsiaTheme="majorEastAsia" w:hAnsiTheme="majorEastAsia"/>
        </w:rPr>
        <w:object w:dxaOrig="10201" w:dyaOrig="105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556.5pt" o:ole="">
            <v:imagedata r:id="rId5" o:title=""/>
          </v:shape>
          <o:OLEObject Type="Embed" ProgID="Excel.Sheet.12" ShapeID="_x0000_i1025" DrawAspect="Content" ObjectID="_1544258688" r:id="rId6"/>
        </w:object>
      </w:r>
    </w:p>
    <w:p w:rsidR="00D01129" w:rsidRPr="00D01129" w:rsidRDefault="00D01129" w:rsidP="00D01129">
      <w:pPr>
        <w:ind w:left="210" w:hangingChars="100" w:hanging="210"/>
        <w:jc w:val="left"/>
        <w:rPr>
          <w:rFonts w:asciiTheme="majorEastAsia" w:eastAsiaTheme="majorEastAsia" w:hAnsiTheme="majorEastAsia"/>
        </w:rPr>
      </w:pPr>
    </w:p>
    <w:sectPr w:rsidR="00D01129" w:rsidRPr="00D01129" w:rsidSect="00452579">
      <w:pgSz w:w="11906" w:h="16838"/>
      <w:pgMar w:top="720" w:right="140" w:bottom="720" w:left="42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1129"/>
    <w:rsid w:val="00063F77"/>
    <w:rsid w:val="00083AA5"/>
    <w:rsid w:val="00094504"/>
    <w:rsid w:val="000A01FF"/>
    <w:rsid w:val="000A7F25"/>
    <w:rsid w:val="000E096B"/>
    <w:rsid w:val="00107231"/>
    <w:rsid w:val="00117B7E"/>
    <w:rsid w:val="0012789A"/>
    <w:rsid w:val="00141C1C"/>
    <w:rsid w:val="00145466"/>
    <w:rsid w:val="00164106"/>
    <w:rsid w:val="00172BBE"/>
    <w:rsid w:val="001A3306"/>
    <w:rsid w:val="001C064A"/>
    <w:rsid w:val="00204420"/>
    <w:rsid w:val="002248F5"/>
    <w:rsid w:val="002345B4"/>
    <w:rsid w:val="002431B2"/>
    <w:rsid w:val="002739B5"/>
    <w:rsid w:val="00282572"/>
    <w:rsid w:val="002E2695"/>
    <w:rsid w:val="002E7B89"/>
    <w:rsid w:val="002F040A"/>
    <w:rsid w:val="00352779"/>
    <w:rsid w:val="00392AE0"/>
    <w:rsid w:val="003A75D3"/>
    <w:rsid w:val="0041210D"/>
    <w:rsid w:val="00432D24"/>
    <w:rsid w:val="00452579"/>
    <w:rsid w:val="00482BBA"/>
    <w:rsid w:val="004A5D29"/>
    <w:rsid w:val="004C4E9D"/>
    <w:rsid w:val="004F4A29"/>
    <w:rsid w:val="00513A58"/>
    <w:rsid w:val="00551138"/>
    <w:rsid w:val="005B66DA"/>
    <w:rsid w:val="005E3655"/>
    <w:rsid w:val="006134D4"/>
    <w:rsid w:val="006563C7"/>
    <w:rsid w:val="00687E40"/>
    <w:rsid w:val="006B7FDE"/>
    <w:rsid w:val="006E5FDB"/>
    <w:rsid w:val="006F12FA"/>
    <w:rsid w:val="00700F00"/>
    <w:rsid w:val="007278C4"/>
    <w:rsid w:val="00736807"/>
    <w:rsid w:val="00746D99"/>
    <w:rsid w:val="00751B42"/>
    <w:rsid w:val="00755ED2"/>
    <w:rsid w:val="00782DFB"/>
    <w:rsid w:val="007902C2"/>
    <w:rsid w:val="007B7BA8"/>
    <w:rsid w:val="007D5903"/>
    <w:rsid w:val="007E5D30"/>
    <w:rsid w:val="007F0DA0"/>
    <w:rsid w:val="0081463D"/>
    <w:rsid w:val="00814D87"/>
    <w:rsid w:val="00823AE2"/>
    <w:rsid w:val="008330C3"/>
    <w:rsid w:val="008570BC"/>
    <w:rsid w:val="00876540"/>
    <w:rsid w:val="008D1D4B"/>
    <w:rsid w:val="00904CDA"/>
    <w:rsid w:val="00905DFE"/>
    <w:rsid w:val="009124BD"/>
    <w:rsid w:val="00941C7A"/>
    <w:rsid w:val="0095345B"/>
    <w:rsid w:val="00972FB9"/>
    <w:rsid w:val="009A0E15"/>
    <w:rsid w:val="009B62D5"/>
    <w:rsid w:val="009B76F1"/>
    <w:rsid w:val="009C02D3"/>
    <w:rsid w:val="009F6C74"/>
    <w:rsid w:val="00A52F52"/>
    <w:rsid w:val="00A81F01"/>
    <w:rsid w:val="00AF0FC4"/>
    <w:rsid w:val="00AF4F2C"/>
    <w:rsid w:val="00B05E2B"/>
    <w:rsid w:val="00B46C04"/>
    <w:rsid w:val="00B52325"/>
    <w:rsid w:val="00B87FA2"/>
    <w:rsid w:val="00BA6564"/>
    <w:rsid w:val="00BB3307"/>
    <w:rsid w:val="00BD5D0D"/>
    <w:rsid w:val="00BE6234"/>
    <w:rsid w:val="00C50CB9"/>
    <w:rsid w:val="00C51D57"/>
    <w:rsid w:val="00C55EEE"/>
    <w:rsid w:val="00C7056F"/>
    <w:rsid w:val="00C87351"/>
    <w:rsid w:val="00CD2974"/>
    <w:rsid w:val="00D0099A"/>
    <w:rsid w:val="00D01129"/>
    <w:rsid w:val="00D06462"/>
    <w:rsid w:val="00D217E0"/>
    <w:rsid w:val="00DA0325"/>
    <w:rsid w:val="00DA2F3F"/>
    <w:rsid w:val="00E17BF3"/>
    <w:rsid w:val="00E25548"/>
    <w:rsid w:val="00E4100E"/>
    <w:rsid w:val="00E62FE6"/>
    <w:rsid w:val="00E648F0"/>
    <w:rsid w:val="00E7635E"/>
    <w:rsid w:val="00E84B2E"/>
    <w:rsid w:val="00F43791"/>
    <w:rsid w:val="00F53F95"/>
    <w:rsid w:val="00F63F9E"/>
    <w:rsid w:val="00FA57E9"/>
    <w:rsid w:val="00FD2E14"/>
    <w:rsid w:val="00FF1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F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package" Target="embeddings/Microsoft_Excel_Worksheet1.xls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335</TotalTime>
  <Pages>2</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狩野　クラ子</dc:creator>
  <cp:lastModifiedBy>狩野　クラ子</cp:lastModifiedBy>
  <cp:revision>17</cp:revision>
  <cp:lastPrinted>2016-12-26T02:56:00Z</cp:lastPrinted>
  <dcterms:created xsi:type="dcterms:W3CDTF">2016-12-19T00:34:00Z</dcterms:created>
  <dcterms:modified xsi:type="dcterms:W3CDTF">2016-12-26T02:58:00Z</dcterms:modified>
</cp:coreProperties>
</file>